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Default="001756F7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  <w:t>Geriatric Services Capacity Assessment</w:t>
      </w:r>
    </w:p>
    <w:p w:rsidR="001756F7" w:rsidRDefault="001756F7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</w:p>
    <w:p w:rsidR="00694D24" w:rsidRDefault="00694D24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  <w:t>Domain 3 – Comprehensive Long-term Services and Supports</w:t>
      </w:r>
    </w:p>
    <w:p w:rsidR="001756F7" w:rsidRPr="009451D9" w:rsidRDefault="001756F7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bookmarkStart w:id="0" w:name="_GoBack"/>
      <w:bookmarkEnd w:id="0"/>
    </w:p>
    <w:p w:rsidR="00C66E9A" w:rsidRPr="009451D9" w:rsidRDefault="00C66E9A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  <w:r w:rsidRPr="009451D9"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  <w:t>Assessing your Results</w:t>
      </w:r>
    </w:p>
    <w:p w:rsidR="00E72147" w:rsidRDefault="00E72147" w:rsidP="008419F1">
      <w:pPr>
        <w:spacing w:after="120" w:line="240" w:lineRule="auto"/>
        <w:rPr>
          <w:rFonts w:ascii="Book Antiqua" w:eastAsia="MS ??" w:hAnsi="Book Antiqua" w:cs="Calibri"/>
          <w:color w:val="5F497A"/>
          <w:spacing w:val="-2"/>
        </w:rPr>
        <w:sectPr w:rsidR="00E72147" w:rsidSect="00AC6120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720"/>
          <w:docGrid w:linePitch="360"/>
        </w:sectPr>
      </w:pPr>
    </w:p>
    <w:p w:rsidR="0037194A" w:rsidRDefault="00D030DE" w:rsidP="00727E1C">
      <w:pPr>
        <w:pStyle w:val="Heading1"/>
        <w:rPr>
          <w:rFonts w:eastAsia="MS ??"/>
        </w:rPr>
      </w:pPr>
      <w:r>
        <w:rPr>
          <w:rFonts w:eastAsia="MS ??"/>
        </w:rPr>
        <w:lastRenderedPageBreak/>
        <w:t>Domain 3:</w:t>
      </w:r>
      <w:r>
        <w:rPr>
          <w:rFonts w:eastAsia="MS ??"/>
        </w:rPr>
        <w:tab/>
      </w:r>
      <w:r w:rsidR="0037194A" w:rsidRPr="002E0432">
        <w:rPr>
          <w:rFonts w:eastAsia="MS ??"/>
        </w:rPr>
        <w:t>C</w:t>
      </w:r>
      <w:r w:rsidR="000D0B3D" w:rsidRPr="002E0432">
        <w:rPr>
          <w:rFonts w:eastAsia="MS ??"/>
        </w:rPr>
        <w:t>omprehensive Long-Term Services and Supports</w:t>
      </w:r>
    </w:p>
    <w:p w:rsidR="00D030DE" w:rsidRDefault="00D030DE" w:rsidP="00D030DE">
      <w:pPr>
        <w:pStyle w:val="Heading2"/>
        <w:spacing w:before="0"/>
        <w:rPr>
          <w:rFonts w:eastAsia="MS ??"/>
        </w:rPr>
      </w:pPr>
      <w:r w:rsidRPr="00D030DE">
        <w:rPr>
          <w:rFonts w:eastAsia="MS ??"/>
        </w:rPr>
        <w:t>3.1</w:t>
      </w:r>
      <w:r w:rsidRPr="00D030DE">
        <w:rPr>
          <w:rFonts w:eastAsia="MS ??"/>
        </w:rPr>
        <w:tab/>
        <w:t xml:space="preserve">Mobility Equipment, Home Modifications, </w:t>
      </w:r>
      <w:r>
        <w:rPr>
          <w:rFonts w:eastAsia="MS ??"/>
        </w:rPr>
        <w:t>a</w:t>
      </w:r>
      <w:r w:rsidRPr="00D030DE">
        <w:rPr>
          <w:rFonts w:eastAsia="MS ??"/>
        </w:rPr>
        <w:t>nd Supplies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1 Mobility Equipment, Home Modifications, and Supplies&#10;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3.1.1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>Are consumers assessed to identify services and equipment needs to maximize independence?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3.1.2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consumers have access to customized equipment and equipment modifications based on their needs and goals as described in the IPC?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3.1.3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an adequate network of equipment providers to ensure choice and timely access to needed services?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3.1.4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repair requests for durable medical equipment addressed in a timely manner so as not to disrupt or limit the daily functioning of the consumer?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3.1.5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back-up options in place for all essential equipment and supplies?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3.1.6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 review process for consideration of assistive technology and other equipment that may facilitate functional independence but is not a specified benefit or service?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3.2</w:t>
      </w:r>
      <w:r w:rsidRPr="00D030DE">
        <w:rPr>
          <w:rFonts w:eastAsia="MS ??"/>
        </w:rPr>
        <w:tab/>
        <w:t>Personal Assistance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2 Personal Assistance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consumers given a choice between an agency model and a self-directed model for their personal care attendants?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consumers able to maintain access to existing or preferred PCAs?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 specified transition plan developed prior to a change in PCA service or model of care?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 consumer’s IPC available to the PCA (and other caregivers, as appropriate) to direct the delivery of his or her personal care on a daily basis?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lastRenderedPageBreak/>
              <w:t>3.2.5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all home-based PCAs trained to deliver services and supports based on the consumer’s IPC?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proofErr w:type="gramStart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</w:t>
            </w:r>
            <w:proofErr w:type="gramEnd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 IDT staff trained to watch for and report problematic home-based relationships, such as abuse, neglect, and exploitation?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3.2.7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all consumers have emergency and caregiver back-up plans?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3.3</w:t>
      </w:r>
      <w:r w:rsidRPr="00D030DE">
        <w:rPr>
          <w:rFonts w:eastAsia="MS ??"/>
        </w:rPr>
        <w:tab/>
        <w:t xml:space="preserve">Self-Directed Option </w:t>
      </w:r>
      <w:r>
        <w:rPr>
          <w:rFonts w:eastAsia="MS ??"/>
        </w:rPr>
        <w:t>f</w:t>
      </w:r>
      <w:r w:rsidRPr="00D030DE">
        <w:rPr>
          <w:rFonts w:eastAsia="MS ??"/>
        </w:rPr>
        <w:t xml:space="preserve">or Home- </w:t>
      </w:r>
      <w:r>
        <w:rPr>
          <w:rFonts w:eastAsia="MS ??"/>
        </w:rPr>
        <w:t>a</w:t>
      </w:r>
      <w:r w:rsidRPr="00D030DE">
        <w:rPr>
          <w:rFonts w:eastAsia="MS ??"/>
        </w:rPr>
        <w:t>nd Community-Based Services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3 Self-Directed Option for Home- and Community-Based Services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3.3.1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Does the self-directed option allow consumers to be responsible for hiring, firing, training, and supervising personal assistance workers?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3.3.2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skills training and support provided for consumers choosing the self-directed option?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3.3.3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a fiscal intermediary or co-employment agency available to support the employer functions of the consumer, if needed?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3.4</w:t>
      </w:r>
      <w:r w:rsidRPr="00D030DE">
        <w:rPr>
          <w:rFonts w:eastAsia="MS ??"/>
        </w:rPr>
        <w:tab/>
        <w:t>Agency Model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4 Agency Model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3.4.1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Does the consumer have a reasonable choice of providers?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3.4.2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Does the agency assume responsibility for orientation, training, and ongoing supervision of a consumer’s direct care workers?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3.4.3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If they are not directly involved with the IDT, Aare direct care workers and/or their supervisors included in interactions with the IDT?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spacing w:before="0"/>
        <w:rPr>
          <w:rFonts w:eastAsia="MS ??"/>
        </w:rPr>
      </w:pPr>
      <w:r w:rsidRPr="00D030DE">
        <w:rPr>
          <w:rFonts w:eastAsia="MS ??"/>
        </w:rPr>
        <w:t>3.5</w:t>
      </w:r>
      <w:r w:rsidRPr="00D030DE">
        <w:rPr>
          <w:rFonts w:eastAsia="MS ??"/>
        </w:rPr>
        <w:tab/>
        <w:t>Transportation Services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5 Transportation Services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the specific transportation requirements of the consumer identified as part of the initial assessment?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 range of types of transportation services available to consumers?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transportation scheduling support available for consumers?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transportation services available 24/7 to meet urgent needs?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3.5.5 Are there clear policies regarding transportation assistance to health care appointments?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3.5.6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transportation providers monitored to ensure safe, dependable, and accessible service?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3.6</w:t>
      </w:r>
      <w:r w:rsidRPr="00D030DE">
        <w:rPr>
          <w:rFonts w:eastAsia="MS ??"/>
        </w:rPr>
        <w:tab/>
        <w:t xml:space="preserve">Network Composition </w:t>
      </w:r>
      <w:r>
        <w:rPr>
          <w:rFonts w:eastAsia="MS ??"/>
        </w:rPr>
        <w:t>a</w:t>
      </w:r>
      <w:r w:rsidRPr="00D030DE">
        <w:rPr>
          <w:rFonts w:eastAsia="MS ??"/>
        </w:rPr>
        <w:t>nd Capacity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6 Network Composition and Capacity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3.6.1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individual home- and community-based supports identified as a part of the assessment and care planning process?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3.6.2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consumers able to maintain existing relationships with LTSS providers?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3.6.3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adequate network capacity to ensure the consumer has access to the full range of needed LTSS?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3.6.4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capacity to develop specific services not readily available in the community that are specified in the individual’s IPC?</w:t>
            </w:r>
          </w:p>
        </w:tc>
        <w:tc>
          <w:tcPr>
            <w:tcW w:w="225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2E0432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3.7</w:t>
      </w:r>
      <w:r w:rsidRPr="00D030DE">
        <w:rPr>
          <w:rFonts w:eastAsia="MS ??"/>
        </w:rPr>
        <w:tab/>
        <w:t>Employment Supports</w:t>
      </w:r>
    </w:p>
    <w:tbl>
      <w:tblPr>
        <w:tblStyle w:val="TableGrid2"/>
        <w:tblW w:w="9738" w:type="dxa"/>
        <w:tblLook w:val="04A0" w:firstRow="1" w:lastRow="0" w:firstColumn="1" w:lastColumn="0" w:noHBand="0" w:noVBand="1"/>
        <w:tblDescription w:val="This table has questions that pertain to Domain 3:  Comprehensive Long-Term Services and Supports, 3.7 Employment Supports"/>
      </w:tblPr>
      <w:tblGrid>
        <w:gridCol w:w="4878"/>
        <w:gridCol w:w="2250"/>
        <w:gridCol w:w="2610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37194A" w:rsidRPr="006679EA" w:rsidTr="00D030DE">
        <w:trPr>
          <w:cantSplit/>
        </w:trPr>
        <w:tc>
          <w:tcPr>
            <w:tcW w:w="4878" w:type="dxa"/>
            <w:vAlign w:val="center"/>
          </w:tcPr>
          <w:p w:rsidR="0037194A" w:rsidRPr="006679EA" w:rsidRDefault="0037194A" w:rsidP="00E72147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3.7.1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employed consumers (or those desiring to be employed) have access to services and supports needed to maintain employment?</w:t>
            </w:r>
          </w:p>
        </w:tc>
        <w:tc>
          <w:tcPr>
            <w:tcW w:w="2250" w:type="dxa"/>
            <w:vAlign w:val="center"/>
          </w:tcPr>
          <w:p w:rsidR="0037194A" w:rsidRPr="006679EA" w:rsidRDefault="0037194A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7194A" w:rsidRPr="006679EA" w:rsidRDefault="0037194A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AD71FB" w:rsidRDefault="00AD71FB" w:rsidP="00694D24">
      <w:pPr>
        <w:pStyle w:val="Heading1"/>
      </w:pPr>
    </w:p>
    <w:sectPr w:rsidR="00AD71FB" w:rsidSect="00E7214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E" w:rsidRDefault="00D030DE" w:rsidP="001F2ED3">
      <w:pPr>
        <w:spacing w:after="0" w:line="240" w:lineRule="auto"/>
      </w:pPr>
      <w:r>
        <w:separator/>
      </w:r>
    </w:p>
  </w:endnote>
  <w:end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E" w:rsidRDefault="00D030DE">
    <w:pPr>
      <w:pStyle w:val="Footer"/>
      <w:jc w:val="right"/>
    </w:pPr>
  </w:p>
  <w:p w:rsidR="00D030DE" w:rsidRDefault="00D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0DE" w:rsidRDefault="00D030DE" w:rsidP="002E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E" w:rsidRDefault="00D030DE" w:rsidP="001F2ED3">
      <w:pPr>
        <w:spacing w:after="0" w:line="240" w:lineRule="auto"/>
      </w:pPr>
      <w:r>
        <w:separator/>
      </w:r>
    </w:p>
  </w:footnote>
  <w:foot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AF"/>
    <w:multiLevelType w:val="hybridMultilevel"/>
    <w:tmpl w:val="4E244D54"/>
    <w:lvl w:ilvl="0" w:tplc="EE9A2BDA">
      <w:start w:val="1"/>
      <w:numFmt w:val="bullet"/>
      <w:pStyle w:val="Bullet1"/>
      <w:lvlText w:val=""/>
      <w:lvlJc w:val="left"/>
      <w:pPr>
        <w:ind w:left="342" w:hanging="360"/>
      </w:pPr>
      <w:rPr>
        <w:rFonts w:ascii="Wingdings 2" w:hAnsi="Wingdings 2"/>
        <w:b w:val="0"/>
        <w:i w:val="0"/>
        <w:caps w:val="0"/>
        <w:strike w:val="0"/>
        <w:dstrike w:val="0"/>
        <w:vanish w:val="0"/>
        <w:color w:val="31849B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E42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70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6C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8E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0E5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5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CED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DE1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0008F5"/>
    <w:rsid w:val="00000BF2"/>
    <w:rsid w:val="00003477"/>
    <w:rsid w:val="000106DE"/>
    <w:rsid w:val="00011511"/>
    <w:rsid w:val="00011F0F"/>
    <w:rsid w:val="00025201"/>
    <w:rsid w:val="00027FEC"/>
    <w:rsid w:val="000363B4"/>
    <w:rsid w:val="00051529"/>
    <w:rsid w:val="00064B2A"/>
    <w:rsid w:val="00067AB6"/>
    <w:rsid w:val="00070122"/>
    <w:rsid w:val="00073ED3"/>
    <w:rsid w:val="000757B1"/>
    <w:rsid w:val="00076598"/>
    <w:rsid w:val="00082C69"/>
    <w:rsid w:val="00093BCF"/>
    <w:rsid w:val="00094438"/>
    <w:rsid w:val="000A17D0"/>
    <w:rsid w:val="000A6F42"/>
    <w:rsid w:val="000B1616"/>
    <w:rsid w:val="000B18D9"/>
    <w:rsid w:val="000B36AB"/>
    <w:rsid w:val="000C2A46"/>
    <w:rsid w:val="000C715D"/>
    <w:rsid w:val="000D0B3D"/>
    <w:rsid w:val="000D324C"/>
    <w:rsid w:val="000D3F30"/>
    <w:rsid w:val="000D62F3"/>
    <w:rsid w:val="000D6A91"/>
    <w:rsid w:val="000D7855"/>
    <w:rsid w:val="000E21DB"/>
    <w:rsid w:val="000E43A7"/>
    <w:rsid w:val="000E4A37"/>
    <w:rsid w:val="000F2CF8"/>
    <w:rsid w:val="000F3EDC"/>
    <w:rsid w:val="00105F12"/>
    <w:rsid w:val="00114EEF"/>
    <w:rsid w:val="00115255"/>
    <w:rsid w:val="001234B7"/>
    <w:rsid w:val="001245EC"/>
    <w:rsid w:val="001252F2"/>
    <w:rsid w:val="0012590F"/>
    <w:rsid w:val="00127DE5"/>
    <w:rsid w:val="00135D3A"/>
    <w:rsid w:val="001467E1"/>
    <w:rsid w:val="00150870"/>
    <w:rsid w:val="00151F44"/>
    <w:rsid w:val="001523B5"/>
    <w:rsid w:val="00154811"/>
    <w:rsid w:val="00156B09"/>
    <w:rsid w:val="00167069"/>
    <w:rsid w:val="001746B2"/>
    <w:rsid w:val="001756F7"/>
    <w:rsid w:val="0017704A"/>
    <w:rsid w:val="00181FAA"/>
    <w:rsid w:val="00186591"/>
    <w:rsid w:val="00195351"/>
    <w:rsid w:val="001960CC"/>
    <w:rsid w:val="001A3911"/>
    <w:rsid w:val="001B12AF"/>
    <w:rsid w:val="001B22B8"/>
    <w:rsid w:val="001C0277"/>
    <w:rsid w:val="001C45AA"/>
    <w:rsid w:val="001D3EB8"/>
    <w:rsid w:val="001D784B"/>
    <w:rsid w:val="001E1D6E"/>
    <w:rsid w:val="001E259D"/>
    <w:rsid w:val="001E368C"/>
    <w:rsid w:val="001F1710"/>
    <w:rsid w:val="001F2ED3"/>
    <w:rsid w:val="001F3775"/>
    <w:rsid w:val="001F4E2E"/>
    <w:rsid w:val="00202F89"/>
    <w:rsid w:val="00206170"/>
    <w:rsid w:val="00210960"/>
    <w:rsid w:val="002128F5"/>
    <w:rsid w:val="00215E38"/>
    <w:rsid w:val="00216E29"/>
    <w:rsid w:val="00220E5C"/>
    <w:rsid w:val="002237C9"/>
    <w:rsid w:val="002342FF"/>
    <w:rsid w:val="002366C6"/>
    <w:rsid w:val="0024055A"/>
    <w:rsid w:val="0024071E"/>
    <w:rsid w:val="00241E7E"/>
    <w:rsid w:val="002440B5"/>
    <w:rsid w:val="002529C3"/>
    <w:rsid w:val="00260F6C"/>
    <w:rsid w:val="00273733"/>
    <w:rsid w:val="00277B84"/>
    <w:rsid w:val="002822FE"/>
    <w:rsid w:val="0028641F"/>
    <w:rsid w:val="00286F10"/>
    <w:rsid w:val="002A4F2E"/>
    <w:rsid w:val="002A7E07"/>
    <w:rsid w:val="002D5570"/>
    <w:rsid w:val="002D61D2"/>
    <w:rsid w:val="002D6A7C"/>
    <w:rsid w:val="002E0432"/>
    <w:rsid w:val="002E0CAE"/>
    <w:rsid w:val="002F21E0"/>
    <w:rsid w:val="002F5E43"/>
    <w:rsid w:val="002F6B88"/>
    <w:rsid w:val="002F7077"/>
    <w:rsid w:val="00300B2A"/>
    <w:rsid w:val="00307652"/>
    <w:rsid w:val="00312EEB"/>
    <w:rsid w:val="0032173C"/>
    <w:rsid w:val="00324CC3"/>
    <w:rsid w:val="003266F1"/>
    <w:rsid w:val="00330B9E"/>
    <w:rsid w:val="00332DE8"/>
    <w:rsid w:val="00342ACE"/>
    <w:rsid w:val="003431AE"/>
    <w:rsid w:val="00351432"/>
    <w:rsid w:val="00352899"/>
    <w:rsid w:val="00360CBB"/>
    <w:rsid w:val="00361452"/>
    <w:rsid w:val="0037194A"/>
    <w:rsid w:val="00396F5E"/>
    <w:rsid w:val="003A1BD9"/>
    <w:rsid w:val="003A2EE9"/>
    <w:rsid w:val="003A67C8"/>
    <w:rsid w:val="003B3CC1"/>
    <w:rsid w:val="003C3259"/>
    <w:rsid w:val="003C61A2"/>
    <w:rsid w:val="003D33FE"/>
    <w:rsid w:val="003D43B2"/>
    <w:rsid w:val="003E1625"/>
    <w:rsid w:val="003E286D"/>
    <w:rsid w:val="003E39C4"/>
    <w:rsid w:val="0040090B"/>
    <w:rsid w:val="00402AB7"/>
    <w:rsid w:val="00406C27"/>
    <w:rsid w:val="004108ED"/>
    <w:rsid w:val="004121E6"/>
    <w:rsid w:val="004220E9"/>
    <w:rsid w:val="00427513"/>
    <w:rsid w:val="0044262A"/>
    <w:rsid w:val="0045147B"/>
    <w:rsid w:val="004520DD"/>
    <w:rsid w:val="00455407"/>
    <w:rsid w:val="00462A92"/>
    <w:rsid w:val="00462D05"/>
    <w:rsid w:val="00474402"/>
    <w:rsid w:val="00475E0B"/>
    <w:rsid w:val="0047743B"/>
    <w:rsid w:val="00481876"/>
    <w:rsid w:val="00497230"/>
    <w:rsid w:val="0049785F"/>
    <w:rsid w:val="004A2F01"/>
    <w:rsid w:val="004A4984"/>
    <w:rsid w:val="004C0652"/>
    <w:rsid w:val="004D1222"/>
    <w:rsid w:val="004D5002"/>
    <w:rsid w:val="004D500A"/>
    <w:rsid w:val="004D7FF3"/>
    <w:rsid w:val="004E4FC2"/>
    <w:rsid w:val="004E5074"/>
    <w:rsid w:val="00502DD8"/>
    <w:rsid w:val="0050450F"/>
    <w:rsid w:val="00504E5A"/>
    <w:rsid w:val="00506CF2"/>
    <w:rsid w:val="005204EB"/>
    <w:rsid w:val="00527F1D"/>
    <w:rsid w:val="00534AC2"/>
    <w:rsid w:val="00537EDA"/>
    <w:rsid w:val="00540548"/>
    <w:rsid w:val="005425DF"/>
    <w:rsid w:val="00553C18"/>
    <w:rsid w:val="005574A8"/>
    <w:rsid w:val="00567893"/>
    <w:rsid w:val="005766F0"/>
    <w:rsid w:val="005907D8"/>
    <w:rsid w:val="00590F87"/>
    <w:rsid w:val="00593539"/>
    <w:rsid w:val="0059483C"/>
    <w:rsid w:val="005A0971"/>
    <w:rsid w:val="005A2320"/>
    <w:rsid w:val="005A2886"/>
    <w:rsid w:val="005A4ABD"/>
    <w:rsid w:val="005B6EA1"/>
    <w:rsid w:val="005B7EBD"/>
    <w:rsid w:val="005C0DDC"/>
    <w:rsid w:val="005C2A73"/>
    <w:rsid w:val="005C479A"/>
    <w:rsid w:val="005C576D"/>
    <w:rsid w:val="005D229C"/>
    <w:rsid w:val="005D6AF6"/>
    <w:rsid w:val="005E6BD9"/>
    <w:rsid w:val="00604E51"/>
    <w:rsid w:val="00606AB5"/>
    <w:rsid w:val="00606DD1"/>
    <w:rsid w:val="00624252"/>
    <w:rsid w:val="006271C9"/>
    <w:rsid w:val="006279F9"/>
    <w:rsid w:val="0063007C"/>
    <w:rsid w:val="0063313C"/>
    <w:rsid w:val="006348DA"/>
    <w:rsid w:val="00634937"/>
    <w:rsid w:val="00635B41"/>
    <w:rsid w:val="0064120B"/>
    <w:rsid w:val="0064557E"/>
    <w:rsid w:val="00655415"/>
    <w:rsid w:val="006557F0"/>
    <w:rsid w:val="00655815"/>
    <w:rsid w:val="00657EF8"/>
    <w:rsid w:val="00665426"/>
    <w:rsid w:val="006679EA"/>
    <w:rsid w:val="00671219"/>
    <w:rsid w:val="00682C8A"/>
    <w:rsid w:val="00685F3D"/>
    <w:rsid w:val="00694D24"/>
    <w:rsid w:val="00696162"/>
    <w:rsid w:val="006A1F9D"/>
    <w:rsid w:val="006C1620"/>
    <w:rsid w:val="006C4598"/>
    <w:rsid w:val="006C65D8"/>
    <w:rsid w:val="006C769B"/>
    <w:rsid w:val="006D1CD0"/>
    <w:rsid w:val="006D28C1"/>
    <w:rsid w:val="006E1EFE"/>
    <w:rsid w:val="006E5A30"/>
    <w:rsid w:val="006F1B05"/>
    <w:rsid w:val="006F5851"/>
    <w:rsid w:val="006F5FD4"/>
    <w:rsid w:val="006F733E"/>
    <w:rsid w:val="00704043"/>
    <w:rsid w:val="0070458C"/>
    <w:rsid w:val="0070640D"/>
    <w:rsid w:val="00714B2D"/>
    <w:rsid w:val="00714F51"/>
    <w:rsid w:val="00721184"/>
    <w:rsid w:val="00726B1A"/>
    <w:rsid w:val="00727E1C"/>
    <w:rsid w:val="00727FD1"/>
    <w:rsid w:val="007305B9"/>
    <w:rsid w:val="007326DD"/>
    <w:rsid w:val="007362B2"/>
    <w:rsid w:val="00736811"/>
    <w:rsid w:val="00747E4E"/>
    <w:rsid w:val="007504E0"/>
    <w:rsid w:val="00756AFB"/>
    <w:rsid w:val="00756D29"/>
    <w:rsid w:val="00757E63"/>
    <w:rsid w:val="00764CB8"/>
    <w:rsid w:val="00774385"/>
    <w:rsid w:val="007747F7"/>
    <w:rsid w:val="00786CA0"/>
    <w:rsid w:val="00787E72"/>
    <w:rsid w:val="00794BF8"/>
    <w:rsid w:val="007A6E63"/>
    <w:rsid w:val="007C4203"/>
    <w:rsid w:val="007C59BB"/>
    <w:rsid w:val="007D1D5C"/>
    <w:rsid w:val="007D51CB"/>
    <w:rsid w:val="007F4FF3"/>
    <w:rsid w:val="007F5450"/>
    <w:rsid w:val="007F617B"/>
    <w:rsid w:val="007F6EAC"/>
    <w:rsid w:val="00802154"/>
    <w:rsid w:val="00802737"/>
    <w:rsid w:val="00804B85"/>
    <w:rsid w:val="00806428"/>
    <w:rsid w:val="00816A9B"/>
    <w:rsid w:val="00816C93"/>
    <w:rsid w:val="0082362A"/>
    <w:rsid w:val="008266E0"/>
    <w:rsid w:val="008365DF"/>
    <w:rsid w:val="00836F59"/>
    <w:rsid w:val="008419F1"/>
    <w:rsid w:val="008421BC"/>
    <w:rsid w:val="0084461B"/>
    <w:rsid w:val="0085085F"/>
    <w:rsid w:val="00855C1A"/>
    <w:rsid w:val="0086066B"/>
    <w:rsid w:val="008711BA"/>
    <w:rsid w:val="00874E3E"/>
    <w:rsid w:val="00875259"/>
    <w:rsid w:val="00881B95"/>
    <w:rsid w:val="0088521F"/>
    <w:rsid w:val="0088782D"/>
    <w:rsid w:val="00891A2E"/>
    <w:rsid w:val="00891D92"/>
    <w:rsid w:val="008975C9"/>
    <w:rsid w:val="00897D55"/>
    <w:rsid w:val="008A1C36"/>
    <w:rsid w:val="008A71CF"/>
    <w:rsid w:val="008C076D"/>
    <w:rsid w:val="008C2EEA"/>
    <w:rsid w:val="008C6D26"/>
    <w:rsid w:val="008C7548"/>
    <w:rsid w:val="008D66EE"/>
    <w:rsid w:val="008E14ED"/>
    <w:rsid w:val="008F27D3"/>
    <w:rsid w:val="008F47B8"/>
    <w:rsid w:val="008F7769"/>
    <w:rsid w:val="009006AC"/>
    <w:rsid w:val="00910626"/>
    <w:rsid w:val="00910C4F"/>
    <w:rsid w:val="009130BA"/>
    <w:rsid w:val="009156BA"/>
    <w:rsid w:val="0091605C"/>
    <w:rsid w:val="00916E78"/>
    <w:rsid w:val="00917350"/>
    <w:rsid w:val="00921131"/>
    <w:rsid w:val="00921BC7"/>
    <w:rsid w:val="00931D85"/>
    <w:rsid w:val="009330E9"/>
    <w:rsid w:val="00934A05"/>
    <w:rsid w:val="009451D9"/>
    <w:rsid w:val="00955A14"/>
    <w:rsid w:val="00964518"/>
    <w:rsid w:val="00967623"/>
    <w:rsid w:val="00972C12"/>
    <w:rsid w:val="00975CFC"/>
    <w:rsid w:val="00985B84"/>
    <w:rsid w:val="00994CB6"/>
    <w:rsid w:val="00996998"/>
    <w:rsid w:val="00997D81"/>
    <w:rsid w:val="009A3116"/>
    <w:rsid w:val="009A4E58"/>
    <w:rsid w:val="009A4E92"/>
    <w:rsid w:val="009C56FB"/>
    <w:rsid w:val="009E105A"/>
    <w:rsid w:val="009E2027"/>
    <w:rsid w:val="009E23D1"/>
    <w:rsid w:val="009F71F6"/>
    <w:rsid w:val="00A076F3"/>
    <w:rsid w:val="00A079E5"/>
    <w:rsid w:val="00A07D1C"/>
    <w:rsid w:val="00A133E6"/>
    <w:rsid w:val="00A13A52"/>
    <w:rsid w:val="00A16177"/>
    <w:rsid w:val="00A16D0E"/>
    <w:rsid w:val="00A20554"/>
    <w:rsid w:val="00A3040A"/>
    <w:rsid w:val="00A317E3"/>
    <w:rsid w:val="00A3354B"/>
    <w:rsid w:val="00A34DAC"/>
    <w:rsid w:val="00A34E63"/>
    <w:rsid w:val="00A36222"/>
    <w:rsid w:val="00A37114"/>
    <w:rsid w:val="00A41BBC"/>
    <w:rsid w:val="00A42D81"/>
    <w:rsid w:val="00A45F95"/>
    <w:rsid w:val="00A549A5"/>
    <w:rsid w:val="00A60922"/>
    <w:rsid w:val="00A648B7"/>
    <w:rsid w:val="00A655EB"/>
    <w:rsid w:val="00A655F7"/>
    <w:rsid w:val="00A66712"/>
    <w:rsid w:val="00A66CB8"/>
    <w:rsid w:val="00A7177A"/>
    <w:rsid w:val="00A71B91"/>
    <w:rsid w:val="00A71D70"/>
    <w:rsid w:val="00A72812"/>
    <w:rsid w:val="00A814B0"/>
    <w:rsid w:val="00A828B2"/>
    <w:rsid w:val="00A9366C"/>
    <w:rsid w:val="00AA543C"/>
    <w:rsid w:val="00AA550D"/>
    <w:rsid w:val="00AB5D20"/>
    <w:rsid w:val="00AB6756"/>
    <w:rsid w:val="00AC6120"/>
    <w:rsid w:val="00AC7341"/>
    <w:rsid w:val="00AD71FB"/>
    <w:rsid w:val="00AF2FF3"/>
    <w:rsid w:val="00B0417D"/>
    <w:rsid w:val="00B12771"/>
    <w:rsid w:val="00B14646"/>
    <w:rsid w:val="00B22507"/>
    <w:rsid w:val="00B244FA"/>
    <w:rsid w:val="00B24FF4"/>
    <w:rsid w:val="00B25545"/>
    <w:rsid w:val="00B262E3"/>
    <w:rsid w:val="00B26BC4"/>
    <w:rsid w:val="00B335B4"/>
    <w:rsid w:val="00B34812"/>
    <w:rsid w:val="00B37170"/>
    <w:rsid w:val="00B40D25"/>
    <w:rsid w:val="00B43FD2"/>
    <w:rsid w:val="00B507D4"/>
    <w:rsid w:val="00B51880"/>
    <w:rsid w:val="00B51ECB"/>
    <w:rsid w:val="00B545CB"/>
    <w:rsid w:val="00B56781"/>
    <w:rsid w:val="00B62660"/>
    <w:rsid w:val="00B67717"/>
    <w:rsid w:val="00B72171"/>
    <w:rsid w:val="00B7383A"/>
    <w:rsid w:val="00B7493D"/>
    <w:rsid w:val="00B75C73"/>
    <w:rsid w:val="00B76AC4"/>
    <w:rsid w:val="00B8580F"/>
    <w:rsid w:val="00B903C5"/>
    <w:rsid w:val="00B90C08"/>
    <w:rsid w:val="00B92193"/>
    <w:rsid w:val="00B93D48"/>
    <w:rsid w:val="00B946FB"/>
    <w:rsid w:val="00B974E0"/>
    <w:rsid w:val="00BA70B0"/>
    <w:rsid w:val="00BB32ED"/>
    <w:rsid w:val="00BB5960"/>
    <w:rsid w:val="00BB6416"/>
    <w:rsid w:val="00BC1C4E"/>
    <w:rsid w:val="00BC1D13"/>
    <w:rsid w:val="00BC2F77"/>
    <w:rsid w:val="00BC46C6"/>
    <w:rsid w:val="00BC6A9F"/>
    <w:rsid w:val="00BC7275"/>
    <w:rsid w:val="00BD0EEF"/>
    <w:rsid w:val="00BD419F"/>
    <w:rsid w:val="00BE03EC"/>
    <w:rsid w:val="00BE3DDF"/>
    <w:rsid w:val="00BF0A1A"/>
    <w:rsid w:val="00BF1A09"/>
    <w:rsid w:val="00BF1B89"/>
    <w:rsid w:val="00BF4D94"/>
    <w:rsid w:val="00BF51D6"/>
    <w:rsid w:val="00BF5B8D"/>
    <w:rsid w:val="00BF759B"/>
    <w:rsid w:val="00C058DB"/>
    <w:rsid w:val="00C0740D"/>
    <w:rsid w:val="00C10E31"/>
    <w:rsid w:val="00C11F1B"/>
    <w:rsid w:val="00C16FAD"/>
    <w:rsid w:val="00C22C07"/>
    <w:rsid w:val="00C277A5"/>
    <w:rsid w:val="00C34D90"/>
    <w:rsid w:val="00C404FF"/>
    <w:rsid w:val="00C419E2"/>
    <w:rsid w:val="00C47693"/>
    <w:rsid w:val="00C50355"/>
    <w:rsid w:val="00C5584B"/>
    <w:rsid w:val="00C57C78"/>
    <w:rsid w:val="00C63664"/>
    <w:rsid w:val="00C66E9A"/>
    <w:rsid w:val="00CB2934"/>
    <w:rsid w:val="00CB7890"/>
    <w:rsid w:val="00CC5C64"/>
    <w:rsid w:val="00CF14B4"/>
    <w:rsid w:val="00CF40BB"/>
    <w:rsid w:val="00D00C70"/>
    <w:rsid w:val="00D029A3"/>
    <w:rsid w:val="00D030DE"/>
    <w:rsid w:val="00D04A0B"/>
    <w:rsid w:val="00D10FBC"/>
    <w:rsid w:val="00D12DBD"/>
    <w:rsid w:val="00D2529D"/>
    <w:rsid w:val="00D276B1"/>
    <w:rsid w:val="00D42C48"/>
    <w:rsid w:val="00D43D09"/>
    <w:rsid w:val="00D506DF"/>
    <w:rsid w:val="00D53F33"/>
    <w:rsid w:val="00D54497"/>
    <w:rsid w:val="00D55271"/>
    <w:rsid w:val="00D573C5"/>
    <w:rsid w:val="00D57C95"/>
    <w:rsid w:val="00D65EDA"/>
    <w:rsid w:val="00D7512B"/>
    <w:rsid w:val="00D75D23"/>
    <w:rsid w:val="00D76E1E"/>
    <w:rsid w:val="00D777D2"/>
    <w:rsid w:val="00D77B33"/>
    <w:rsid w:val="00D81696"/>
    <w:rsid w:val="00D84604"/>
    <w:rsid w:val="00D86806"/>
    <w:rsid w:val="00D86AB2"/>
    <w:rsid w:val="00D909E1"/>
    <w:rsid w:val="00D95198"/>
    <w:rsid w:val="00D95E00"/>
    <w:rsid w:val="00D96170"/>
    <w:rsid w:val="00D977B2"/>
    <w:rsid w:val="00DA4CBB"/>
    <w:rsid w:val="00DC098A"/>
    <w:rsid w:val="00DC1F48"/>
    <w:rsid w:val="00DC3D46"/>
    <w:rsid w:val="00DC4C57"/>
    <w:rsid w:val="00DD2898"/>
    <w:rsid w:val="00DE1C1F"/>
    <w:rsid w:val="00DE1E17"/>
    <w:rsid w:val="00DE2A7F"/>
    <w:rsid w:val="00DE4DB4"/>
    <w:rsid w:val="00DF283D"/>
    <w:rsid w:val="00E13ED3"/>
    <w:rsid w:val="00E218E7"/>
    <w:rsid w:val="00E248F9"/>
    <w:rsid w:val="00E2761A"/>
    <w:rsid w:val="00E331D8"/>
    <w:rsid w:val="00E357BE"/>
    <w:rsid w:val="00E36313"/>
    <w:rsid w:val="00E36699"/>
    <w:rsid w:val="00E36D1D"/>
    <w:rsid w:val="00E46F58"/>
    <w:rsid w:val="00E5172E"/>
    <w:rsid w:val="00E51ADF"/>
    <w:rsid w:val="00E538D2"/>
    <w:rsid w:val="00E53AEE"/>
    <w:rsid w:val="00E5420A"/>
    <w:rsid w:val="00E5584A"/>
    <w:rsid w:val="00E57C29"/>
    <w:rsid w:val="00E62041"/>
    <w:rsid w:val="00E707D8"/>
    <w:rsid w:val="00E72147"/>
    <w:rsid w:val="00E72668"/>
    <w:rsid w:val="00E7269E"/>
    <w:rsid w:val="00E72E57"/>
    <w:rsid w:val="00E757CB"/>
    <w:rsid w:val="00E7653C"/>
    <w:rsid w:val="00E77640"/>
    <w:rsid w:val="00E825AA"/>
    <w:rsid w:val="00E876A9"/>
    <w:rsid w:val="00EA45E0"/>
    <w:rsid w:val="00EA6569"/>
    <w:rsid w:val="00EB5C62"/>
    <w:rsid w:val="00EB73B6"/>
    <w:rsid w:val="00EC073F"/>
    <w:rsid w:val="00EC3C63"/>
    <w:rsid w:val="00EC4D2D"/>
    <w:rsid w:val="00EC6945"/>
    <w:rsid w:val="00EC6A2C"/>
    <w:rsid w:val="00EC779C"/>
    <w:rsid w:val="00ED0F8D"/>
    <w:rsid w:val="00EE5343"/>
    <w:rsid w:val="00EF0A2F"/>
    <w:rsid w:val="00EF5127"/>
    <w:rsid w:val="00EF67F8"/>
    <w:rsid w:val="00F027B2"/>
    <w:rsid w:val="00F16D77"/>
    <w:rsid w:val="00F21B8B"/>
    <w:rsid w:val="00F22669"/>
    <w:rsid w:val="00F24B67"/>
    <w:rsid w:val="00F266BD"/>
    <w:rsid w:val="00F26C5A"/>
    <w:rsid w:val="00F32601"/>
    <w:rsid w:val="00F3276E"/>
    <w:rsid w:val="00F32A05"/>
    <w:rsid w:val="00F3375E"/>
    <w:rsid w:val="00F366CE"/>
    <w:rsid w:val="00F37020"/>
    <w:rsid w:val="00F43638"/>
    <w:rsid w:val="00F46D53"/>
    <w:rsid w:val="00F50CFA"/>
    <w:rsid w:val="00F5342E"/>
    <w:rsid w:val="00F57056"/>
    <w:rsid w:val="00F63881"/>
    <w:rsid w:val="00F761F3"/>
    <w:rsid w:val="00F83D1B"/>
    <w:rsid w:val="00F84146"/>
    <w:rsid w:val="00F84CE0"/>
    <w:rsid w:val="00FA0CE6"/>
    <w:rsid w:val="00FA7240"/>
    <w:rsid w:val="00FB1974"/>
    <w:rsid w:val="00FB520B"/>
    <w:rsid w:val="00FB5875"/>
    <w:rsid w:val="00FC67A5"/>
    <w:rsid w:val="00FD4EC4"/>
    <w:rsid w:val="00FE310B"/>
    <w:rsid w:val="00FE67FB"/>
    <w:rsid w:val="00FF08D4"/>
    <w:rsid w:val="00FF4C7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F2D8-BAD2-43CA-BA17-D557F95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Care_for_Geriatric_Consumers_and_Service_Capacity:A_Self-Assessment_Tool</vt:lpstr>
    </vt:vector>
  </TitlesOfParts>
  <Company>The Lewin Group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Care_for_Geriatric_Consumers_and_Service_Capacity:A_Self-Assessment_Tool</dc:title>
  <dc:subject>Geriatric Competent Care</dc:subject>
  <dc:creator>The Lewin Group</dc:creator>
  <cp:keywords>Geriatric Self-Assessment Tool</cp:keywords>
  <cp:lastModifiedBy>Jessie Micholuk</cp:lastModifiedBy>
  <cp:revision>4</cp:revision>
  <cp:lastPrinted>2016-03-14T17:38:00Z</cp:lastPrinted>
  <dcterms:created xsi:type="dcterms:W3CDTF">2016-04-07T14:32:00Z</dcterms:created>
  <dcterms:modified xsi:type="dcterms:W3CDTF">2016-05-09T19:27:00Z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